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1A5BC3">
      <w:pPr>
        <w:jc w:val="left"/>
        <w:outlineLvl w:val="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表7：</w:t>
      </w:r>
    </w:p>
    <w:p w14:paraId="19AFACFD">
      <w:pPr>
        <w:adjustRightInd w:val="0"/>
        <w:snapToGrid w:val="0"/>
        <w:spacing w:line="560" w:lineRule="exact"/>
        <w:jc w:val="center"/>
        <w:outlineLvl w:val="0"/>
        <w:rPr>
          <w:rFonts w:ascii="方正小标宋简体" w:eastAsia="方正小标宋简体"/>
          <w:color w:val="000000"/>
          <w:sz w:val="44"/>
          <w:szCs w:val="44"/>
        </w:rPr>
      </w:pPr>
      <w:r>
        <w:rPr>
          <w:rFonts w:hint="eastAsia" w:ascii="方正小标宋简体" w:eastAsia="方正小标宋简体"/>
          <w:color w:val="000000"/>
          <w:sz w:val="44"/>
          <w:szCs w:val="44"/>
        </w:rPr>
        <w:t>湖北省地方标准编制说明</w:t>
      </w:r>
    </w:p>
    <w:p w14:paraId="213441CA">
      <w:pPr>
        <w:adjustRightInd w:val="0"/>
        <w:snapToGrid w:val="0"/>
        <w:spacing w:line="300" w:lineRule="exact"/>
        <w:jc w:val="right"/>
        <w:rPr>
          <w:rFonts w:ascii="方正小标宋简体" w:eastAsia="方正小标宋简体"/>
          <w:color w:val="000000"/>
          <w:sz w:val="44"/>
          <w:szCs w:val="44"/>
        </w:rPr>
      </w:pPr>
    </w:p>
    <w:p w14:paraId="77C85338">
      <w:pPr>
        <w:adjustRightInd w:val="0"/>
        <w:snapToGrid w:val="0"/>
        <w:spacing w:line="560" w:lineRule="exact"/>
        <w:jc w:val="right"/>
        <w:rPr>
          <w:rFonts w:ascii="方正仿宋_GBK" w:hAnsi="宋体" w:eastAsia="方正仿宋_GBK"/>
          <w:color w:val="000000"/>
          <w:sz w:val="32"/>
          <w:szCs w:val="32"/>
        </w:rPr>
      </w:pPr>
      <w:r>
        <w:rPr>
          <w:rFonts w:hint="eastAsia" w:ascii="方正仿宋_GBK" w:hAnsi="宋体" w:eastAsia="方正仿宋_GBK"/>
          <w:color w:val="000000"/>
          <w:sz w:val="32"/>
          <w:szCs w:val="32"/>
        </w:rPr>
        <w:t>2</w:t>
      </w:r>
      <w:r>
        <w:rPr>
          <w:rFonts w:ascii="方正仿宋_GBK" w:hAnsi="宋体" w:eastAsia="方正仿宋_GBK"/>
          <w:color w:val="000000"/>
          <w:sz w:val="32"/>
          <w:szCs w:val="32"/>
        </w:rPr>
        <w:t>025</w:t>
      </w:r>
      <w:r>
        <w:rPr>
          <w:rFonts w:hint="eastAsia" w:ascii="方正仿宋_GBK" w:hAnsi="宋体" w:eastAsia="方正仿宋_GBK"/>
          <w:color w:val="000000"/>
          <w:sz w:val="32"/>
          <w:szCs w:val="32"/>
        </w:rPr>
        <w:t>年</w:t>
      </w:r>
      <w:r>
        <w:rPr>
          <w:rFonts w:ascii="方正仿宋_GBK" w:hAnsi="宋体" w:eastAsia="方正仿宋_GBK"/>
          <w:color w:val="000000"/>
          <w:sz w:val="32"/>
          <w:szCs w:val="32"/>
        </w:rPr>
        <w:t>8</w:t>
      </w:r>
      <w:r>
        <w:rPr>
          <w:rFonts w:hint="eastAsia" w:ascii="方正仿宋_GBK" w:hAnsi="宋体" w:eastAsia="方正仿宋_GBK"/>
          <w:color w:val="000000"/>
          <w:sz w:val="32"/>
          <w:szCs w:val="32"/>
        </w:rPr>
        <w:t>月</w:t>
      </w:r>
      <w:r>
        <w:rPr>
          <w:rFonts w:ascii="方正仿宋_GBK" w:hAnsi="宋体" w:eastAsia="方正仿宋_GBK"/>
          <w:color w:val="000000"/>
          <w:sz w:val="32"/>
          <w:szCs w:val="32"/>
        </w:rPr>
        <w:t>13</w:t>
      </w:r>
      <w:r>
        <w:rPr>
          <w:rFonts w:hint="eastAsia" w:ascii="方正仿宋_GBK" w:hAnsi="宋体" w:eastAsia="方正仿宋_GBK"/>
          <w:color w:val="000000"/>
          <w:sz w:val="32"/>
          <w:szCs w:val="32"/>
        </w:rPr>
        <w:t xml:space="preserve">日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2562"/>
        <w:gridCol w:w="1374"/>
        <w:gridCol w:w="2516"/>
      </w:tblGrid>
      <w:tr w14:paraId="3090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215" w:type="pct"/>
            <w:vAlign w:val="center"/>
          </w:tcPr>
          <w:p w14:paraId="463D6D8C">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标准名称</w:t>
            </w:r>
          </w:p>
        </w:tc>
        <w:tc>
          <w:tcPr>
            <w:tcW w:w="3784" w:type="pct"/>
            <w:gridSpan w:val="3"/>
            <w:vAlign w:val="center"/>
          </w:tcPr>
          <w:p w14:paraId="2A39FE19">
            <w:pPr>
              <w:adjustRightInd w:val="0"/>
              <w:snapToGrid w:val="0"/>
              <w:spacing w:line="360" w:lineRule="exact"/>
              <w:rPr>
                <w:rFonts w:ascii="方正仿宋_GBK" w:hAnsi="宋体" w:eastAsia="方正仿宋_GBK"/>
                <w:color w:val="000000"/>
                <w:sz w:val="28"/>
                <w:szCs w:val="32"/>
              </w:rPr>
            </w:pPr>
            <w:r>
              <w:rPr>
                <w:rFonts w:hint="eastAsia" w:ascii="方正仿宋_GBK" w:hAnsi="宋体" w:eastAsia="方正仿宋_GBK"/>
                <w:color w:val="000000"/>
                <w:sz w:val="28"/>
                <w:szCs w:val="32"/>
              </w:rPr>
              <w:t>危险废物利用处置污染控制技术规范 第2部分 废电路板</w:t>
            </w:r>
          </w:p>
        </w:tc>
      </w:tr>
      <w:tr w14:paraId="11DA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5" w:type="pct"/>
            <w:vAlign w:val="center"/>
          </w:tcPr>
          <w:p w14:paraId="477520C2">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被修订或整合</w:t>
            </w:r>
          </w:p>
          <w:p w14:paraId="47C1BA2A">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标准名称</w:t>
            </w:r>
          </w:p>
        </w:tc>
        <w:tc>
          <w:tcPr>
            <w:tcW w:w="1503" w:type="pct"/>
            <w:vAlign w:val="center"/>
          </w:tcPr>
          <w:p w14:paraId="55A9AFAE">
            <w:pPr>
              <w:adjustRightInd w:val="0"/>
              <w:snapToGrid w:val="0"/>
              <w:spacing w:line="360" w:lineRule="exact"/>
              <w:rPr>
                <w:rFonts w:ascii="方正仿宋_GBK" w:hAnsi="宋体" w:eastAsia="方正仿宋_GBK"/>
                <w:color w:val="000000"/>
                <w:sz w:val="28"/>
                <w:szCs w:val="32"/>
              </w:rPr>
            </w:pPr>
          </w:p>
        </w:tc>
        <w:tc>
          <w:tcPr>
            <w:tcW w:w="806" w:type="pct"/>
            <w:vAlign w:val="center"/>
          </w:tcPr>
          <w:p w14:paraId="5C8CED55">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被代替</w:t>
            </w:r>
          </w:p>
          <w:p w14:paraId="406CC59C">
            <w:pPr>
              <w:adjustRightInd w:val="0"/>
              <w:snapToGrid w:val="0"/>
              <w:spacing w:line="360" w:lineRule="exact"/>
              <w:rPr>
                <w:rFonts w:ascii="方正仿宋_GBK" w:hAnsi="宋体" w:eastAsia="方正仿宋_GBK"/>
                <w:color w:val="000000"/>
                <w:sz w:val="28"/>
                <w:szCs w:val="32"/>
              </w:rPr>
            </w:pPr>
            <w:r>
              <w:rPr>
                <w:rFonts w:hint="eastAsia" w:ascii="方正仿宋_GBK" w:eastAsia="方正仿宋_GBK"/>
                <w:color w:val="000000"/>
                <w:sz w:val="28"/>
                <w:szCs w:val="32"/>
              </w:rPr>
              <w:t>标准编号</w:t>
            </w:r>
          </w:p>
        </w:tc>
        <w:tc>
          <w:tcPr>
            <w:tcW w:w="1475" w:type="pct"/>
            <w:vAlign w:val="center"/>
          </w:tcPr>
          <w:p w14:paraId="24E327DC">
            <w:pPr>
              <w:adjustRightInd w:val="0"/>
              <w:snapToGrid w:val="0"/>
              <w:spacing w:line="360" w:lineRule="exact"/>
              <w:rPr>
                <w:rFonts w:ascii="方正仿宋_GBK" w:hAnsi="宋体" w:eastAsia="方正仿宋_GBK"/>
                <w:color w:val="000000"/>
                <w:sz w:val="28"/>
                <w:szCs w:val="32"/>
              </w:rPr>
            </w:pPr>
          </w:p>
        </w:tc>
      </w:tr>
      <w:tr w14:paraId="1C2D7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atLeast"/>
          <w:jc w:val="center"/>
        </w:trPr>
        <w:tc>
          <w:tcPr>
            <w:tcW w:w="1215" w:type="pct"/>
            <w:vAlign w:val="center"/>
          </w:tcPr>
          <w:p w14:paraId="4C8AA0D2">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起草单位</w:t>
            </w:r>
          </w:p>
          <w:p w14:paraId="091EDBCD">
            <w:pPr>
              <w:adjustRightInd w:val="0"/>
              <w:snapToGrid w:val="0"/>
              <w:spacing w:line="360" w:lineRule="exact"/>
              <w:jc w:val="distribute"/>
              <w:rPr>
                <w:rFonts w:ascii="方正仿宋_GBK" w:eastAsia="方正仿宋_GBK"/>
                <w:color w:val="000000"/>
                <w:sz w:val="28"/>
                <w:szCs w:val="32"/>
              </w:rPr>
            </w:pPr>
            <w:r>
              <w:rPr>
                <w:rFonts w:hint="eastAsia" w:ascii="方正仿宋_GBK" w:hAnsi="宋体" w:eastAsia="方正仿宋_GBK"/>
                <w:color w:val="000000"/>
                <w:sz w:val="28"/>
                <w:szCs w:val="32"/>
              </w:rPr>
              <w:t>（盖章）</w:t>
            </w:r>
          </w:p>
        </w:tc>
        <w:tc>
          <w:tcPr>
            <w:tcW w:w="3784" w:type="pct"/>
            <w:gridSpan w:val="3"/>
            <w:vAlign w:val="center"/>
          </w:tcPr>
          <w:p w14:paraId="254A9535">
            <w:pPr>
              <w:adjustRightInd w:val="0"/>
              <w:snapToGrid w:val="0"/>
              <w:spacing w:line="360" w:lineRule="exact"/>
              <w:rPr>
                <w:rFonts w:ascii="方正仿宋_GBK" w:eastAsia="方正仿宋_GBK"/>
                <w:color w:val="000000"/>
                <w:sz w:val="28"/>
                <w:szCs w:val="32"/>
              </w:rPr>
            </w:pPr>
            <w:r>
              <w:rPr>
                <w:rFonts w:hint="eastAsia" w:ascii="Times New Roman" w:hAnsi="Times New Roman" w:eastAsia="仿宋_GB2312" w:cs="Times New Roman"/>
                <w:iCs/>
                <w:color w:val="000000"/>
                <w:sz w:val="28"/>
                <w:szCs w:val="32"/>
              </w:rPr>
              <w:t>湖北省生态环境科学研究院（省生态环境工程评估中心）、湖北省固体废物与化学品污染防治中心、荆门格林美循环电子废弃物处置有限公司</w:t>
            </w:r>
          </w:p>
        </w:tc>
      </w:tr>
      <w:tr w14:paraId="31471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Pr>
          <w:p w14:paraId="16F4E491">
            <w:pPr>
              <w:adjustRightInd w:val="0"/>
              <w:snapToGrid w:val="0"/>
              <w:spacing w:line="360" w:lineRule="exact"/>
              <w:rPr>
                <w:rFonts w:ascii="方正仿宋_GBK" w:hAnsi="宋体" w:eastAsia="方正仿宋_GBK"/>
                <w:color w:val="000000"/>
                <w:sz w:val="28"/>
                <w:szCs w:val="32"/>
              </w:rPr>
            </w:pPr>
            <w:r>
              <w:rPr>
                <w:rFonts w:hint="eastAsia" w:ascii="方正仿宋_GBK" w:hAnsi="宋体" w:eastAsia="方正仿宋_GBK"/>
                <w:color w:val="000000"/>
                <w:sz w:val="28"/>
                <w:szCs w:val="32"/>
              </w:rPr>
              <w:t>1.项目简介：</w:t>
            </w:r>
          </w:p>
          <w:p w14:paraId="0E8DF8F2">
            <w:pPr>
              <w:spacing w:line="360" w:lineRule="exact"/>
              <w:ind w:firstLine="560" w:firstLineChars="200"/>
              <w:rPr>
                <w:rFonts w:ascii="方正仿宋_GBK" w:hAnsi="仿宋_GB2312" w:eastAsia="方正仿宋_GBK" w:cs="仿宋_GB2312"/>
                <w:sz w:val="28"/>
                <w:szCs w:val="32"/>
              </w:rPr>
            </w:pPr>
            <w:r>
              <w:rPr>
                <w:rFonts w:hint="eastAsia" w:ascii="方正仿宋_GBK" w:hAnsi="仿宋_GB2312" w:eastAsia="方正仿宋_GBK" w:cs="仿宋_GB2312"/>
                <w:sz w:val="28"/>
                <w:szCs w:val="32"/>
              </w:rPr>
              <w:t>（1）范围</w:t>
            </w:r>
          </w:p>
          <w:p w14:paraId="5B6973AA">
            <w:pPr>
              <w:spacing w:line="360" w:lineRule="exact"/>
              <w:ind w:firstLine="560" w:firstLineChars="200"/>
              <w:rPr>
                <w:rFonts w:hint="eastAsia"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本标准规定了废电路板综合利用污染控制的总体要求、废电路板收集、运输和贮存、综合利用污染控制、再生产物控制的技术要求以及运行管理要求。</w:t>
            </w:r>
          </w:p>
          <w:p w14:paraId="460B974E">
            <w:pPr>
              <w:spacing w:line="360" w:lineRule="exact"/>
              <w:ind w:firstLine="560" w:firstLineChars="200"/>
              <w:rPr>
                <w:rFonts w:hint="default"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本标准适用于废电路板综合利用企业建厂选址、工程建设、运行管理以及与废电路板综合利用有关项目的环境影响评价、环境保护设施设计、竣工环境保护验收、排污许可管理、清洁生产审核等。</w:t>
            </w:r>
          </w:p>
          <w:p w14:paraId="3FA8690C">
            <w:pPr>
              <w:spacing w:line="360" w:lineRule="exact"/>
              <w:ind w:firstLine="560" w:firstLineChars="200"/>
              <w:rPr>
                <w:rFonts w:ascii="方正仿宋_GBK" w:hAnsi="仿宋_GB2312" w:eastAsia="方正仿宋_GBK" w:cs="仿宋_GB2312"/>
                <w:sz w:val="28"/>
                <w:szCs w:val="32"/>
              </w:rPr>
            </w:pPr>
            <w:r>
              <w:rPr>
                <w:rFonts w:hint="eastAsia" w:ascii="方正仿宋_GBK" w:hAnsi="仿宋_GB2312" w:eastAsia="方正仿宋_GBK" w:cs="仿宋_GB2312"/>
                <w:sz w:val="28"/>
                <w:szCs w:val="32"/>
              </w:rPr>
              <w:t>（2）主要技术内容</w:t>
            </w:r>
          </w:p>
          <w:p w14:paraId="50C2BF66">
            <w:pPr>
              <w:spacing w:line="360" w:lineRule="exact"/>
              <w:ind w:firstLine="560" w:firstLineChars="200"/>
              <w:rPr>
                <w:rFonts w:hint="eastAsia"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本标准规定了废电路板综合利用污染控制的总体要求，明确了废电路板收集、运输、贮存的技术要求，强调分类收集、合规运输及规范贮存；细化了综合利用各工艺环节的污染控制措施，涵盖拆解、破碎、分选、高温热处理等，以及末端大气、噪声、新产生危险废物的污染控制；设定了利用产物的控制要求，对铜粉、废树脂粉等产物的质量与监测作出规定；还提出了运行管理要求，包括设施维护、经营记录、监测公开、应急演练及人员培训等。</w:t>
            </w:r>
          </w:p>
          <w:p w14:paraId="2E8C4CE3">
            <w:pPr>
              <w:spacing w:line="360" w:lineRule="exact"/>
              <w:ind w:firstLine="560" w:firstLineChars="200"/>
              <w:rPr>
                <w:rFonts w:ascii="方正仿宋_GBK" w:hAnsi="仿宋_GB2312" w:eastAsia="方正仿宋_GBK" w:cs="仿宋_GB2312"/>
                <w:sz w:val="28"/>
                <w:szCs w:val="32"/>
              </w:rPr>
            </w:pPr>
            <w:r>
              <w:rPr>
                <w:rFonts w:hint="eastAsia" w:ascii="方正仿宋_GBK" w:hAnsi="仿宋_GB2312" w:eastAsia="方正仿宋_GBK" w:cs="仿宋_GB2312"/>
                <w:sz w:val="28"/>
                <w:szCs w:val="32"/>
              </w:rPr>
              <w:t>（3）项目必要性和可行性</w:t>
            </w:r>
          </w:p>
          <w:p w14:paraId="6CB7DD1C">
            <w:pPr>
              <w:spacing w:line="360" w:lineRule="exact"/>
              <w:ind w:firstLine="560" w:firstLineChars="200"/>
              <w:rPr>
                <w:rFonts w:hint="default"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随着电子信息产业的迅猛发展，废电路板产生量持续攀升。其既含有铜、金、银等有价金属，具备较高的资源回收价值，又富含铅、汞、镉等重金属以及多溴联苯醚等有毒有害物质，若处置不当，将对土壤、水体、大气环境造成严重污染，威胁人体健康。当前，我国废电路板利用处置行业存在工艺水平参差不齐、污染控制标准不统一、资源回收率低等问题，尤其是在湖北省，作为电子产业较为发达的地区，废电路板的妥善处理处置迫在眉睫。制定本规范，有助于规范行业行为，提高污染控制水平，实现废电路板的资源化、无害化利用，保障生态环境安全。</w:t>
            </w:r>
          </w:p>
          <w:p w14:paraId="0B72AD5D">
            <w:pPr>
              <w:spacing w:line="360" w:lineRule="exact"/>
              <w:ind w:firstLine="560" w:firstLineChars="200"/>
              <w:rPr>
                <w:rFonts w:hint="eastAsia" w:ascii="方正仿宋_GBK" w:hAnsi="仿宋_GB2312" w:eastAsia="方正仿宋_GBK" w:cs="仿宋_GB2312"/>
                <w:sz w:val="28"/>
                <w:szCs w:val="32"/>
              </w:rPr>
            </w:pPr>
            <w:r>
              <w:rPr>
                <w:rFonts w:hint="eastAsia" w:ascii="Times New Roman" w:hAnsi="Times New Roman" w:eastAsia="仿宋_GB2312" w:cs="Times New Roman"/>
                <w:color w:val="000000"/>
                <w:sz w:val="28"/>
                <w:szCs w:val="32"/>
              </w:rPr>
              <w:t>从技术层面看，国内在废电路板利用处置技术研发方面已取得显著进展，机械物理法、火法冶金、湿法冶金等工艺不断成熟，部分企业已实现规模化应用，为标准的实施提供了技术支撑。在政策方面，国家和地方陆续出台了一系列关于固体废物污染防治、危险废物管理的法律法规及政策文件，为本规范的制定提供了政策依据与保障。此外，随着环保意识的提升，企业对废电路板规范处置的重视程度不断提高，愿意投入资金进行技术改造与污染治理，具备实施本规范的主观意愿与经济基础。同时，湖北省内具备完善的环境监测与监管体系，能够对企业执行标准的情况进行有效监督，确保规范的顺利实施。</w:t>
            </w:r>
          </w:p>
        </w:tc>
      </w:tr>
      <w:tr w14:paraId="037A6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Pr>
          <w:p w14:paraId="30BDA97E">
            <w:pPr>
              <w:adjustRightInd w:val="0"/>
              <w:snapToGrid w:val="0"/>
              <w:spacing w:line="360" w:lineRule="exact"/>
              <w:rPr>
                <w:rFonts w:ascii="方正仿宋_GBK" w:eastAsia="方正仿宋_GBK"/>
                <w:color w:val="000000"/>
                <w:sz w:val="28"/>
                <w:szCs w:val="32"/>
              </w:rPr>
            </w:pPr>
            <w:r>
              <w:rPr>
                <w:rFonts w:hint="eastAsia" w:ascii="方正仿宋_GBK" w:eastAsia="方正仿宋_GBK"/>
                <w:color w:val="000000"/>
                <w:sz w:val="28"/>
                <w:szCs w:val="32"/>
              </w:rPr>
              <w:t>2.技术路线：</w:t>
            </w:r>
          </w:p>
          <w:p w14:paraId="01E70CC2">
            <w:pPr>
              <w:spacing w:line="360" w:lineRule="exact"/>
              <w:ind w:firstLine="560" w:firstLineChars="200"/>
              <w:rPr>
                <w:rFonts w:hint="default"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（1）广泛收集国内外关于废电路板利用处置污染控制的相关标准、技术文献、研究报告等资料，了解行业发展现状与趋势 。同时，对湖北省内的废电路板产生企业、利用处置企业进行实地调研，详细掌握其生产工艺、污染排放、治理措施等实际情况，为标准制定提供数据支撑。</w:t>
            </w:r>
          </w:p>
          <w:p w14:paraId="5517A2CF">
            <w:pPr>
              <w:spacing w:line="360" w:lineRule="exact"/>
              <w:ind w:firstLine="560" w:firstLineChars="200"/>
              <w:rPr>
                <w:rFonts w:hint="default"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2）依据调研结果，结合国家相关法律法规和政策要求，确定标准的整体框架结构，明确各章节的主要内容。针对废电路板利用处置的各个环节，参考国内外先进技术与实践经验，通过理论分析、专家咨询等方式，确定科学合理的技术指标与污染控制要求，如工艺参数、污染物排放限值、产物质量标准等。</w:t>
            </w:r>
          </w:p>
          <w:p w14:paraId="02D31457">
            <w:pPr>
              <w:spacing w:line="360" w:lineRule="exact"/>
              <w:ind w:firstLine="560" w:firstLineChars="200"/>
              <w:rPr>
                <w:rFonts w:hint="eastAsia" w:ascii="方正仿宋_GBK" w:hAnsi="宋体" w:eastAsia="方正仿宋_GBK"/>
                <w:color w:val="000000"/>
                <w:sz w:val="28"/>
                <w:szCs w:val="32"/>
              </w:rPr>
            </w:pPr>
            <w:r>
              <w:rPr>
                <w:rFonts w:hint="eastAsia" w:ascii="Times New Roman" w:hAnsi="Times New Roman" w:eastAsia="仿宋_GB2312" w:cs="Times New Roman"/>
                <w:color w:val="000000"/>
                <w:sz w:val="28"/>
                <w:szCs w:val="32"/>
              </w:rPr>
              <w:t>（3）基于上述研究内容，综合考虑程序内容和技术方法，统筹编制《危险废物利用处置污染控制技术规范 第2部分 废电路板》</w:t>
            </w:r>
            <w:r>
              <w:rPr>
                <w:rFonts w:hint="eastAsia" w:ascii="方正仿宋_GBK" w:hAnsi="宋体" w:eastAsia="方正仿宋_GBK"/>
                <w:color w:val="000000"/>
                <w:sz w:val="28"/>
                <w:szCs w:val="32"/>
              </w:rPr>
              <w:t>。</w:t>
            </w:r>
          </w:p>
        </w:tc>
      </w:tr>
      <w:tr w14:paraId="405AA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Pr>
          <w:p w14:paraId="03AFF6B6">
            <w:pPr>
              <w:numPr>
                <w:ilvl w:val="0"/>
                <w:numId w:val="1"/>
              </w:numPr>
              <w:adjustRightInd w:val="0"/>
              <w:snapToGrid w:val="0"/>
              <w:spacing w:line="360" w:lineRule="exact"/>
              <w:rPr>
                <w:rFonts w:ascii="方正仿宋_GBK" w:eastAsia="方正仿宋_GBK"/>
                <w:color w:val="000000"/>
                <w:sz w:val="28"/>
                <w:szCs w:val="28"/>
              </w:rPr>
            </w:pPr>
            <w:r>
              <w:rPr>
                <w:rFonts w:hint="eastAsia" w:ascii="方正仿宋_GBK" w:eastAsia="方正仿宋_GBK"/>
                <w:color w:val="000000"/>
                <w:sz w:val="28"/>
                <w:szCs w:val="28"/>
              </w:rPr>
              <w:t>标准比对：</w:t>
            </w:r>
          </w:p>
          <w:p w14:paraId="55F32063">
            <w:pPr>
              <w:spacing w:line="360" w:lineRule="exact"/>
              <w:ind w:firstLine="560" w:firstLineChars="200"/>
              <w:rPr>
                <w:rFonts w:hint="default"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目前，国家层面已出台了一些与固体废物、危险废物管理相关的标准，但专门针对废电路板利用处置污染控制的标准相对较少且不够细化。与相关国家标准相比，本规范在适用范围上更加聚焦于废电路板这一特定危险废物，对其利用处置全过程的技术要求与污染控制措施规定得更为详细具体。例如，在工艺要求方面，本规范针对不同的废电路板利用处置工艺，如机械物理法中的分选工艺，明确了具体的分选设备组合与技术参数；而国家标准可能仅作一般性原则规定。在污染物排放控制上，本规范结合湖北省的环境承载能力与产业发展特点，对部分污染物的排放限值提出了更为严格的要求，以更好地保护区域环境。</w:t>
            </w:r>
          </w:p>
          <w:p w14:paraId="74DBC837">
            <w:pPr>
              <w:spacing w:line="360" w:lineRule="exact"/>
              <w:ind w:firstLine="560" w:firstLineChars="200"/>
              <w:rPr>
                <w:rFonts w:ascii="方正仿宋_GBK" w:eastAsia="方正仿宋_GBK"/>
                <w:color w:val="000000"/>
                <w:sz w:val="28"/>
                <w:szCs w:val="32"/>
              </w:rPr>
            </w:pPr>
            <w:r>
              <w:rPr>
                <w:rFonts w:hint="eastAsia" w:ascii="Times New Roman" w:hAnsi="Times New Roman" w:eastAsia="仿宋_GB2312" w:cs="Times New Roman"/>
                <w:color w:val="000000"/>
                <w:sz w:val="28"/>
                <w:szCs w:val="32"/>
              </w:rPr>
              <w:t>部分省份已制定了关于废电路板或电子废物处理处置的地方标准，本规范在借鉴其他地方标准先进经验的基础上，充分考虑湖北省的产业结构、资源禀赋、环境特征等因素，具有更强的地方适应性。例如，在废电路板收集运输环节，其他地方标准可能侧重于一般性的危险废物运输要求，而本规范结合湖北省内废电路板产生源分布特点，对运输路线规划、车辆调度等方面提出了更具针对性的要求，以提高运输效率，降低环境风险。在产物利用方面，本规范根据湖北省相关产业发展需求，对废树脂粉等产物的资源化利用途径与质量标准进行了详细规定，促进资源的高效利用。</w:t>
            </w:r>
          </w:p>
        </w:tc>
      </w:tr>
      <w:tr w14:paraId="4F65D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8" w:hRule="atLeast"/>
          <w:jc w:val="center"/>
        </w:trPr>
        <w:tc>
          <w:tcPr>
            <w:tcW w:w="5000" w:type="pct"/>
            <w:gridSpan w:val="4"/>
          </w:tcPr>
          <w:p w14:paraId="67748EA2">
            <w:pPr>
              <w:numPr>
                <w:ilvl w:val="0"/>
                <w:numId w:val="1"/>
              </w:numPr>
              <w:adjustRightInd w:val="0"/>
              <w:snapToGrid w:val="0"/>
              <w:spacing w:line="360" w:lineRule="exact"/>
              <w:rPr>
                <w:rFonts w:ascii="方正仿宋_GBK" w:eastAsia="方正仿宋_GBK"/>
                <w:color w:val="000000"/>
                <w:sz w:val="28"/>
                <w:szCs w:val="28"/>
              </w:rPr>
            </w:pPr>
            <w:r>
              <w:rPr>
                <w:rFonts w:hint="eastAsia" w:ascii="方正仿宋_GBK" w:eastAsia="方正仿宋_GBK"/>
                <w:color w:val="000000"/>
                <w:sz w:val="28"/>
                <w:szCs w:val="28"/>
              </w:rPr>
              <w:t>风险分析：</w:t>
            </w:r>
          </w:p>
          <w:p w14:paraId="261C21E4">
            <w:pPr>
              <w:spacing w:line="360" w:lineRule="exact"/>
              <w:ind w:firstLine="560" w:firstLineChars="200"/>
              <w:rPr>
                <w:rFonts w:hint="default"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本标准的制订，是基于我国现有法律规定，主要服务于鉴定机构、司法机关、行政机关等，若法条有所更新，遵循国家的最新要求。</w:t>
            </w:r>
          </w:p>
          <w:p w14:paraId="18739BED">
            <w:pPr>
              <w:spacing w:line="360" w:lineRule="exact"/>
              <w:ind w:firstLine="560" w:firstLineChars="200"/>
              <w:rPr>
                <w:rFonts w:hint="default"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若标准与其他标准规定内容有出入，根据《司法鉴定程序通则》中第二十二条，应当依下列顺序遵守和采用该专业领域的技术标准和技术规范：</w:t>
            </w:r>
          </w:p>
          <w:p w14:paraId="62ACD5FA">
            <w:pPr>
              <w:spacing w:line="360" w:lineRule="exact"/>
              <w:ind w:firstLine="560" w:firstLineChars="200"/>
              <w:rPr>
                <w:rFonts w:hint="default"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（1）国家标准和技术规范；</w:t>
            </w:r>
          </w:p>
          <w:p w14:paraId="0ECB53CD">
            <w:pPr>
              <w:spacing w:line="360" w:lineRule="exact"/>
              <w:ind w:firstLine="560" w:firstLineChars="200"/>
              <w:rPr>
                <w:rFonts w:hint="default"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（2）司法鉴定主管部门、司法鉴定行业组织或者相关行业主管部门制定的行业标准和技术规范；</w:t>
            </w:r>
          </w:p>
          <w:p w14:paraId="042EC543">
            <w:pPr>
              <w:spacing w:line="360" w:lineRule="exact"/>
              <w:ind w:firstLine="560" w:firstLineChars="200"/>
              <w:rPr>
                <w:rFonts w:hint="default"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（3）该专业领域多数专家认可的技术标准和技术规范。</w:t>
            </w:r>
          </w:p>
          <w:p w14:paraId="58EE9143">
            <w:pPr>
              <w:spacing w:line="360" w:lineRule="exact"/>
              <w:ind w:firstLine="560" w:firstLineChars="200"/>
              <w:rPr>
                <w:rFonts w:hint="default"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不具备前款规定的技术标准和技术规范的，可以采用所属司法鉴定机构自行制定的有关技术规范。</w:t>
            </w:r>
          </w:p>
          <w:p w14:paraId="2B5D999A">
            <w:pPr>
              <w:spacing w:line="360" w:lineRule="exact"/>
              <w:ind w:firstLine="560" w:firstLineChars="200"/>
              <w:rPr>
                <w:rFonts w:ascii="方正仿宋_GBK" w:hAnsi="仿宋_GB2312" w:eastAsia="方正仿宋_GBK" w:cs="仿宋_GB2312"/>
                <w:sz w:val="28"/>
                <w:szCs w:val="32"/>
              </w:rPr>
            </w:pPr>
            <w:r>
              <w:rPr>
                <w:rFonts w:hint="eastAsia" w:ascii="Times New Roman" w:hAnsi="Times New Roman" w:eastAsia="仿宋_GB2312" w:cs="Times New Roman"/>
                <w:color w:val="000000"/>
                <w:sz w:val="28"/>
                <w:szCs w:val="32"/>
              </w:rPr>
              <w:t>标准实施后，出现的重大意见分歧时，按照司法部司法鉴定程序，存在异议的课题可通过研讨会讨论或其它方式解决，并载明异议。</w:t>
            </w:r>
          </w:p>
        </w:tc>
      </w:tr>
      <w:tr w14:paraId="2C03B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jc w:val="center"/>
        </w:trPr>
        <w:tc>
          <w:tcPr>
            <w:tcW w:w="5000" w:type="pct"/>
            <w:gridSpan w:val="4"/>
          </w:tcPr>
          <w:p w14:paraId="292A947D">
            <w:pPr>
              <w:adjustRightInd w:val="0"/>
              <w:snapToGrid w:val="0"/>
              <w:spacing w:line="360" w:lineRule="exact"/>
              <w:rPr>
                <w:rFonts w:ascii="方正仿宋_GBK" w:eastAsia="方正仿宋_GBK"/>
                <w:color w:val="000000"/>
                <w:sz w:val="28"/>
                <w:szCs w:val="28"/>
              </w:rPr>
            </w:pPr>
            <w:r>
              <w:rPr>
                <w:rFonts w:hint="eastAsia" w:ascii="方正仿宋_GBK" w:eastAsia="方正仿宋_GBK"/>
                <w:color w:val="000000"/>
                <w:sz w:val="28"/>
                <w:szCs w:val="28"/>
              </w:rPr>
              <w:t>5.宣贯实施计划：</w:t>
            </w:r>
          </w:p>
          <w:p w14:paraId="210A9247">
            <w:pPr>
              <w:spacing w:line="360" w:lineRule="exact"/>
              <w:ind w:firstLine="560" w:firstLineChars="200"/>
              <w:rPr>
                <w:rFonts w:hint="default"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rPr>
              <w:t xml:space="preserve">第一阶段 </w:t>
            </w:r>
            <w:r>
              <w:rPr>
                <w:rFonts w:hint="default" w:ascii="Times New Roman" w:hAnsi="Times New Roman" w:eastAsia="仿宋_GB2312" w:cs="Times New Roman"/>
                <w:color w:val="000000"/>
                <w:sz w:val="28"/>
                <w:szCs w:val="32"/>
              </w:rPr>
              <w:t>2025.1</w:t>
            </w:r>
            <w:r>
              <w:rPr>
                <w:rFonts w:hint="eastAsia" w:ascii="Times New Roman" w:hAnsi="Times New Roman" w:eastAsia="仿宋_GB2312" w:cs="Times New Roman"/>
                <w:color w:val="000000"/>
                <w:sz w:val="28"/>
                <w:szCs w:val="32"/>
              </w:rPr>
              <w:t>—2</w:t>
            </w:r>
            <w:r>
              <w:rPr>
                <w:rFonts w:hint="default" w:ascii="Times New Roman" w:hAnsi="Times New Roman" w:eastAsia="仿宋_GB2312" w:cs="Times New Roman"/>
                <w:color w:val="000000"/>
                <w:sz w:val="28"/>
                <w:szCs w:val="32"/>
              </w:rPr>
              <w:t xml:space="preserve">025.4 </w:t>
            </w:r>
            <w:r>
              <w:rPr>
                <w:rFonts w:hint="eastAsia" w:eastAsia="仿宋_GB2312" w:cs="Times New Roman"/>
                <w:color w:val="000000"/>
                <w:sz w:val="28"/>
                <w:szCs w:val="32"/>
                <w:lang w:val="en-US" w:eastAsia="zh-CN"/>
              </w:rPr>
              <w:t>资料收集和调研</w:t>
            </w:r>
          </w:p>
          <w:p w14:paraId="646746B7">
            <w:pPr>
              <w:spacing w:line="360" w:lineRule="exact"/>
              <w:ind w:firstLine="560" w:firstLineChars="200"/>
              <w:rPr>
                <w:rFonts w:hint="default"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在标准编制过程中，起草工作收集相关国家、行业、地方技术体系及标准。学习现有相关技术体系与标准，组织人员起草目录大纲及部分技术内容，达到立项标准。</w:t>
            </w:r>
          </w:p>
          <w:p w14:paraId="6217677F">
            <w:pPr>
              <w:spacing w:line="360" w:lineRule="exact"/>
              <w:ind w:firstLine="560" w:firstLineChars="200"/>
              <w:rPr>
                <w:rFonts w:hint="default"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rPr>
              <w:t xml:space="preserve">第二阶段 </w:t>
            </w:r>
            <w:r>
              <w:rPr>
                <w:rFonts w:hint="default" w:ascii="Times New Roman" w:hAnsi="Times New Roman" w:eastAsia="仿宋_GB2312" w:cs="Times New Roman"/>
                <w:color w:val="000000"/>
                <w:sz w:val="28"/>
                <w:szCs w:val="32"/>
              </w:rPr>
              <w:t>2025.5-2025.</w:t>
            </w:r>
            <w:r>
              <w:rPr>
                <w:rFonts w:hint="eastAsia" w:eastAsia="仿宋_GB2312" w:cs="Times New Roman"/>
                <w:color w:val="000000"/>
                <w:sz w:val="28"/>
                <w:szCs w:val="32"/>
                <w:lang w:val="en-US" w:eastAsia="zh-CN"/>
              </w:rPr>
              <w:t>8</w:t>
            </w:r>
            <w:r>
              <w:rPr>
                <w:rFonts w:hint="default" w:ascii="Times New Roman" w:hAnsi="Times New Roman" w:eastAsia="仿宋_GB2312" w:cs="Times New Roman"/>
                <w:color w:val="000000"/>
                <w:sz w:val="28"/>
                <w:szCs w:val="32"/>
              </w:rPr>
              <w:t xml:space="preserve"> </w:t>
            </w:r>
            <w:r>
              <w:rPr>
                <w:rFonts w:hint="eastAsia" w:eastAsia="仿宋_GB2312" w:cs="Times New Roman"/>
                <w:color w:val="000000"/>
                <w:sz w:val="28"/>
                <w:szCs w:val="32"/>
                <w:lang w:val="en-US" w:eastAsia="zh-CN"/>
              </w:rPr>
              <w:t>标准草案起草</w:t>
            </w:r>
          </w:p>
          <w:p w14:paraId="50488201">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sz w:val="28"/>
                <w:szCs w:val="32"/>
                <w:lang w:val="en-US" w:eastAsia="zh-CN"/>
              </w:rPr>
              <w:t>在标准编制过程中，起草工作收集相关国家、行业、地方技术体系及标准。学习现有相关技术体系与标准，组织人员起草目录大纲及部分技术内容，完成标准草案。</w:t>
            </w:r>
          </w:p>
          <w:p w14:paraId="3E823C39">
            <w:pPr>
              <w:spacing w:line="360" w:lineRule="exact"/>
              <w:ind w:firstLine="560" w:firstLineChars="200"/>
              <w:rPr>
                <w:rFonts w:hint="default"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 xml:space="preserve">第三阶段 </w:t>
            </w:r>
            <w:r>
              <w:rPr>
                <w:rFonts w:hint="default" w:ascii="Times New Roman" w:hAnsi="Times New Roman" w:eastAsia="仿宋_GB2312" w:cs="Times New Roman"/>
                <w:color w:val="000000"/>
                <w:sz w:val="28"/>
                <w:szCs w:val="32"/>
              </w:rPr>
              <w:t>2025.</w:t>
            </w:r>
            <w:r>
              <w:rPr>
                <w:rFonts w:hint="eastAsia" w:eastAsia="仿宋_GB2312" w:cs="Times New Roman"/>
                <w:color w:val="000000"/>
                <w:sz w:val="28"/>
                <w:szCs w:val="32"/>
                <w:lang w:val="en-US" w:eastAsia="zh-CN"/>
              </w:rPr>
              <w:t>9</w:t>
            </w:r>
            <w:r>
              <w:rPr>
                <w:rFonts w:hint="default" w:ascii="Times New Roman" w:hAnsi="Times New Roman" w:eastAsia="仿宋_GB2312" w:cs="Times New Roman"/>
                <w:color w:val="000000"/>
                <w:sz w:val="28"/>
                <w:szCs w:val="32"/>
              </w:rPr>
              <w:t>-2025.</w:t>
            </w:r>
            <w:r>
              <w:rPr>
                <w:rFonts w:hint="eastAsia" w:eastAsia="仿宋_GB2312" w:cs="Times New Roman"/>
                <w:color w:val="000000"/>
                <w:sz w:val="28"/>
                <w:szCs w:val="32"/>
                <w:lang w:val="en-US" w:eastAsia="zh-CN"/>
              </w:rPr>
              <w:t>10</w:t>
            </w:r>
            <w:r>
              <w:rPr>
                <w:rFonts w:hint="default" w:ascii="Times New Roman" w:hAnsi="Times New Roman" w:eastAsia="仿宋_GB2312" w:cs="Times New Roman"/>
                <w:color w:val="000000"/>
                <w:sz w:val="28"/>
                <w:szCs w:val="32"/>
              </w:rPr>
              <w:t xml:space="preserve"> </w:t>
            </w:r>
            <w:r>
              <w:rPr>
                <w:rFonts w:hint="eastAsia" w:eastAsia="仿宋_GB2312" w:cs="Times New Roman"/>
                <w:color w:val="000000"/>
                <w:sz w:val="28"/>
                <w:szCs w:val="32"/>
                <w:lang w:val="en-US" w:eastAsia="zh-CN"/>
              </w:rPr>
              <w:t>征求意见及</w:t>
            </w:r>
            <w:r>
              <w:rPr>
                <w:rFonts w:hint="eastAsia" w:ascii="Times New Roman" w:hAnsi="Times New Roman" w:eastAsia="仿宋_GB2312" w:cs="Times New Roman"/>
                <w:color w:val="000000"/>
                <w:sz w:val="28"/>
                <w:szCs w:val="32"/>
              </w:rPr>
              <w:t>技术评审</w:t>
            </w:r>
          </w:p>
          <w:p w14:paraId="4C413BB1">
            <w:pPr>
              <w:spacing w:line="360" w:lineRule="exact"/>
              <w:ind w:firstLine="560" w:firstLineChars="200"/>
              <w:rPr>
                <w:rFonts w:hint="default"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标准起草工作完成后，将规范征求意见稿、编制说明送到分标委秘书处经审查同意后再寄给部分委员与相关单位专家征求意见。收到专家反馈意见后，标准起草小组进行汇总、分析和处理，并根据意见对标准征求意见稿进行修订，完成标准送审稿和意见汇总处理表。将完善后的标准送审稿、规范编制说明、意见汇总表及其他相关附件送分标委秘书处，采用会议或函审方式审查。通过审查后，根据评审意见进行修改并形成标准报批稿。</w:t>
            </w:r>
          </w:p>
          <w:p w14:paraId="332555AF">
            <w:pPr>
              <w:spacing w:line="360" w:lineRule="exact"/>
              <w:ind w:firstLine="560" w:firstLineChars="200"/>
              <w:rPr>
                <w:rFonts w:hint="default" w:ascii="Times New Roman" w:hAnsi="Times New Roman" w:eastAsia="仿宋_GB2312" w:cs="Times New Roman"/>
                <w:color w:val="000000"/>
                <w:sz w:val="28"/>
                <w:szCs w:val="32"/>
              </w:rPr>
            </w:pPr>
            <w:r>
              <w:rPr>
                <w:rFonts w:hint="eastAsia" w:ascii="Times New Roman" w:hAnsi="Times New Roman" w:eastAsia="仿宋_GB2312" w:cs="Times New Roman"/>
                <w:color w:val="000000"/>
                <w:sz w:val="28"/>
                <w:szCs w:val="32"/>
              </w:rPr>
              <w:t>第四阶段 202</w:t>
            </w:r>
            <w:r>
              <w:rPr>
                <w:rFonts w:hint="default" w:ascii="Times New Roman" w:hAnsi="Times New Roman" w:eastAsia="仿宋_GB2312" w:cs="Times New Roman"/>
                <w:color w:val="000000"/>
                <w:sz w:val="28"/>
                <w:szCs w:val="32"/>
              </w:rPr>
              <w:t>5</w:t>
            </w:r>
            <w:r>
              <w:rPr>
                <w:rFonts w:hint="eastAsia" w:ascii="Times New Roman" w:hAnsi="Times New Roman" w:eastAsia="仿宋_GB2312" w:cs="Times New Roman"/>
                <w:color w:val="000000"/>
                <w:sz w:val="28"/>
                <w:szCs w:val="32"/>
              </w:rPr>
              <w:t>.1</w:t>
            </w:r>
            <w:r>
              <w:rPr>
                <w:rFonts w:hint="default" w:ascii="Times New Roman" w:hAnsi="Times New Roman" w:eastAsia="仿宋_GB2312" w:cs="Times New Roman"/>
                <w:color w:val="000000"/>
                <w:sz w:val="28"/>
                <w:szCs w:val="32"/>
              </w:rPr>
              <w:t>0</w:t>
            </w:r>
            <w:r>
              <w:rPr>
                <w:rFonts w:hint="eastAsia" w:ascii="Times New Roman" w:hAnsi="Times New Roman" w:eastAsia="仿宋_GB2312" w:cs="Times New Roman"/>
                <w:color w:val="000000"/>
                <w:sz w:val="28"/>
                <w:szCs w:val="32"/>
              </w:rPr>
              <w:t>~202</w:t>
            </w:r>
            <w:r>
              <w:rPr>
                <w:rFonts w:hint="default" w:ascii="Times New Roman" w:hAnsi="Times New Roman" w:eastAsia="仿宋_GB2312" w:cs="Times New Roman"/>
                <w:color w:val="000000"/>
                <w:sz w:val="28"/>
                <w:szCs w:val="32"/>
              </w:rPr>
              <w:t>5</w:t>
            </w:r>
            <w:r>
              <w:rPr>
                <w:rFonts w:hint="eastAsia" w:ascii="Times New Roman" w:hAnsi="Times New Roman" w:eastAsia="仿宋_GB2312" w:cs="Times New Roman"/>
                <w:color w:val="000000"/>
                <w:sz w:val="28"/>
                <w:szCs w:val="32"/>
              </w:rPr>
              <w:t>.</w:t>
            </w:r>
            <w:r>
              <w:rPr>
                <w:rFonts w:hint="default" w:ascii="Times New Roman" w:hAnsi="Times New Roman" w:eastAsia="仿宋_GB2312" w:cs="Times New Roman"/>
                <w:color w:val="000000"/>
                <w:sz w:val="28"/>
                <w:szCs w:val="32"/>
              </w:rPr>
              <w:t xml:space="preserve">12 </w:t>
            </w:r>
            <w:r>
              <w:rPr>
                <w:rFonts w:hint="eastAsia" w:ascii="Times New Roman" w:hAnsi="Times New Roman" w:eastAsia="仿宋_GB2312" w:cs="Times New Roman"/>
                <w:color w:val="000000"/>
                <w:sz w:val="28"/>
                <w:szCs w:val="32"/>
              </w:rPr>
              <w:t>宣贯实施</w:t>
            </w:r>
          </w:p>
          <w:p w14:paraId="0E634D40">
            <w:pPr>
              <w:spacing w:line="360" w:lineRule="exact"/>
              <w:ind w:firstLine="560" w:firstLineChars="200"/>
              <w:rPr>
                <w:rFonts w:ascii="方正仿宋_GBK" w:hAnsi="仿宋_GB2312" w:eastAsia="方正仿宋_GBK" w:cs="仿宋_GB2312"/>
                <w:kern w:val="2"/>
                <w:sz w:val="28"/>
                <w:szCs w:val="32"/>
              </w:rPr>
            </w:pPr>
            <w:r>
              <w:rPr>
                <w:rFonts w:hint="eastAsia" w:ascii="Times New Roman" w:hAnsi="Times New Roman" w:eastAsia="仿宋_GB2312" w:cs="Times New Roman"/>
                <w:color w:val="000000"/>
                <w:sz w:val="28"/>
                <w:szCs w:val="32"/>
              </w:rPr>
              <w:t>本标准报批稿通过后，由湖北省标准化主管机构或专业主管部门编号、发布。</w:t>
            </w:r>
            <w:bookmarkStart w:id="0" w:name="_GoBack"/>
            <w:bookmarkEnd w:id="0"/>
          </w:p>
        </w:tc>
      </w:tr>
      <w:tr w14:paraId="6CE9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2" w:hRule="atLeast"/>
          <w:jc w:val="center"/>
        </w:trPr>
        <w:tc>
          <w:tcPr>
            <w:tcW w:w="5000" w:type="pct"/>
            <w:gridSpan w:val="4"/>
          </w:tcPr>
          <w:p w14:paraId="67235777">
            <w:pPr>
              <w:pStyle w:val="4"/>
              <w:widowControl w:val="0"/>
              <w:spacing w:before="0" w:beforeAutospacing="0" w:after="0" w:afterAutospacing="0" w:line="360" w:lineRule="exact"/>
              <w:jc w:val="both"/>
              <w:rPr>
                <w:rFonts w:ascii="方正仿宋_GBK" w:hAnsi="仿宋_GB2312" w:eastAsia="方正仿宋_GBK" w:cs="仿宋_GB2312"/>
                <w:kern w:val="2"/>
                <w:sz w:val="28"/>
                <w:szCs w:val="32"/>
              </w:rPr>
            </w:pPr>
            <w:r>
              <w:rPr>
                <w:rFonts w:hint="eastAsia" w:ascii="方正仿宋_GBK" w:hAnsi="仿宋_GB2312" w:eastAsia="方正仿宋_GBK" w:cs="仿宋_GB2312"/>
                <w:kern w:val="2"/>
                <w:sz w:val="28"/>
                <w:szCs w:val="32"/>
              </w:rPr>
              <w:t>6.专家组：</w:t>
            </w:r>
          </w:p>
          <w:p w14:paraId="291938F7">
            <w:pPr>
              <w:pStyle w:val="4"/>
              <w:widowControl w:val="0"/>
              <w:spacing w:before="0" w:beforeAutospacing="0" w:after="0" w:afterAutospacing="0" w:line="360" w:lineRule="exact"/>
              <w:ind w:firstLine="560" w:firstLineChars="200"/>
              <w:jc w:val="both"/>
              <w:rPr>
                <w:rFonts w:hint="eastAsia"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lang w:val="en-US" w:eastAsia="zh-CN"/>
              </w:rPr>
              <w:t>朱  燕，项目统筹。湖北省生态环境科学研究院，高级工程师，</w:t>
            </w:r>
            <w:r>
              <w:rPr>
                <w:rFonts w:hint="eastAsia" w:eastAsia="仿宋_GB2312" w:cs="Times New Roman"/>
                <w:color w:val="000000"/>
                <w:sz w:val="28"/>
                <w:szCs w:val="32"/>
                <w:lang w:val="en-US" w:eastAsia="zh-CN"/>
              </w:rPr>
              <w:t>环境工程，</w:t>
            </w:r>
            <w:r>
              <w:rPr>
                <w:rFonts w:hint="eastAsia" w:ascii="Times New Roman" w:hAnsi="Times New Roman" w:eastAsia="仿宋_GB2312" w:cs="Times New Roman"/>
                <w:color w:val="000000"/>
                <w:sz w:val="28"/>
                <w:szCs w:val="32"/>
                <w:lang w:val="en-US" w:eastAsia="zh-CN"/>
              </w:rPr>
              <w:t>所长。</w:t>
            </w:r>
          </w:p>
          <w:p w14:paraId="636FDABA">
            <w:pPr>
              <w:pStyle w:val="4"/>
              <w:widowControl w:val="0"/>
              <w:spacing w:before="0" w:beforeAutospacing="0" w:after="0" w:afterAutospacing="0" w:line="360" w:lineRule="exact"/>
              <w:ind w:firstLine="560" w:firstLineChars="200"/>
              <w:jc w:val="both"/>
              <w:rPr>
                <w:rFonts w:hint="eastAsia"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lang w:val="en-US" w:eastAsia="zh-CN"/>
              </w:rPr>
              <w:t>段盼盼，编制组组长。湖北省生态环境科学研究院，工程师，环境工程。</w:t>
            </w:r>
          </w:p>
          <w:p w14:paraId="2E25317C">
            <w:pPr>
              <w:pStyle w:val="4"/>
              <w:widowControl w:val="0"/>
              <w:spacing w:before="0" w:beforeAutospacing="0" w:after="0" w:afterAutospacing="0" w:line="360" w:lineRule="exact"/>
              <w:ind w:firstLine="560" w:firstLineChars="200"/>
              <w:jc w:val="both"/>
              <w:rPr>
                <w:rFonts w:ascii="方正仿宋_GBK" w:hAnsi="仿宋_GB2312" w:eastAsia="方正仿宋_GBK" w:cs="仿宋_GB2312"/>
                <w:sz w:val="28"/>
                <w:szCs w:val="32"/>
              </w:rPr>
            </w:pPr>
            <w:r>
              <w:rPr>
                <w:rFonts w:hint="eastAsia" w:ascii="Times New Roman" w:hAnsi="Times New Roman" w:eastAsia="仿宋_GB2312" w:cs="Times New Roman"/>
                <w:color w:val="000000"/>
                <w:sz w:val="28"/>
                <w:szCs w:val="32"/>
                <w:lang w:val="en-US" w:eastAsia="zh-CN"/>
              </w:rPr>
              <w:t>由</w:t>
            </w:r>
            <w:r>
              <w:rPr>
                <w:rFonts w:hint="default" w:ascii="Times New Roman" w:hAnsi="Times New Roman" w:eastAsia="仿宋_GB2312" w:cs="Times New Roman"/>
                <w:color w:val="000000"/>
                <w:sz w:val="28"/>
                <w:szCs w:val="32"/>
                <w:lang w:val="en-US" w:eastAsia="zh-CN"/>
              </w:rPr>
              <w:t>湖北省生态环境科学研究院（省生态环境工程评估中心）、湖北省固体废物与化学品污染防治中心、荆门格林美循环电子废弃物处置有限公司</w:t>
            </w:r>
            <w:r>
              <w:rPr>
                <w:rFonts w:hint="eastAsia" w:ascii="Times New Roman" w:hAnsi="Times New Roman" w:eastAsia="仿宋_GB2312" w:cs="Times New Roman"/>
                <w:color w:val="000000"/>
                <w:sz w:val="28"/>
                <w:szCs w:val="32"/>
                <w:lang w:val="en-US" w:eastAsia="zh-CN"/>
              </w:rPr>
              <w:t>相关技术人员组织编制组。</w:t>
            </w:r>
          </w:p>
        </w:tc>
      </w:tr>
    </w:tbl>
    <w:p w14:paraId="0C7F8E05">
      <w:pPr>
        <w:adjustRightInd w:val="0"/>
        <w:snapToGrid w:val="0"/>
        <w:spacing w:line="400" w:lineRule="exact"/>
        <w:rPr>
          <w:rFonts w:ascii="方正仿宋_GBK" w:eastAsia="方正仿宋_GBK"/>
          <w:color w:val="000000"/>
          <w:sz w:val="28"/>
          <w:szCs w:val="28"/>
        </w:rPr>
      </w:pPr>
      <w:r>
        <w:rPr>
          <w:rFonts w:hint="eastAsia" w:ascii="方正仿宋_GBK" w:eastAsia="方正仿宋_GBK"/>
          <w:b/>
          <w:color w:val="000000"/>
          <w:sz w:val="28"/>
          <w:szCs w:val="28"/>
        </w:rPr>
        <w:t>注：</w:t>
      </w:r>
      <w:r>
        <w:rPr>
          <w:rFonts w:hint="eastAsia" w:ascii="方正仿宋_GBK" w:eastAsia="方正仿宋_GBK"/>
          <w:color w:val="000000"/>
          <w:sz w:val="28"/>
          <w:szCs w:val="28"/>
        </w:rPr>
        <w:t>此表可根据内容多少调整格式，填写时删除斜体的填写说明。</w:t>
      </w:r>
    </w:p>
    <w:p w14:paraId="7D8D43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altName w:val="等线"/>
    <w:panose1 w:val="00000000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AB11E3"/>
    <w:multiLevelType w:val="singleLevel"/>
    <w:tmpl w:val="2CAB11E3"/>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3AA"/>
    <w:rsid w:val="00011B51"/>
    <w:rsid w:val="00182BF5"/>
    <w:rsid w:val="00193E0E"/>
    <w:rsid w:val="00257173"/>
    <w:rsid w:val="003C210F"/>
    <w:rsid w:val="004F43AA"/>
    <w:rsid w:val="0053226D"/>
    <w:rsid w:val="00583E3F"/>
    <w:rsid w:val="00682CED"/>
    <w:rsid w:val="006853DD"/>
    <w:rsid w:val="006B3D99"/>
    <w:rsid w:val="0072698D"/>
    <w:rsid w:val="007834D1"/>
    <w:rsid w:val="00A2788F"/>
    <w:rsid w:val="00A379F1"/>
    <w:rsid w:val="00B02C7D"/>
    <w:rsid w:val="00BC2AEF"/>
    <w:rsid w:val="00BF31E2"/>
    <w:rsid w:val="00C41220"/>
    <w:rsid w:val="00C752DC"/>
    <w:rsid w:val="00CD601B"/>
    <w:rsid w:val="00D22BD2"/>
    <w:rsid w:val="00D543B9"/>
    <w:rsid w:val="00F14A2B"/>
    <w:rsid w:val="00F2181B"/>
    <w:rsid w:val="00FF6833"/>
    <w:rsid w:val="028D5BE9"/>
    <w:rsid w:val="24CA7C09"/>
    <w:rsid w:val="34B73B25"/>
    <w:rsid w:val="3DA72863"/>
    <w:rsid w:val="3E6F5651"/>
    <w:rsid w:val="445175A7"/>
    <w:rsid w:val="4FDA2B47"/>
    <w:rsid w:val="755328D0"/>
    <w:rsid w:val="7A4B2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2571</Words>
  <Characters>2627</Characters>
  <Lines>19</Lines>
  <Paragraphs>5</Paragraphs>
  <TotalTime>0</TotalTime>
  <ScaleCrop>false</ScaleCrop>
  <LinksUpToDate>false</LinksUpToDate>
  <CharactersWithSpaces>2646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2024-12-04T06:22:00Z</dcterms:created>
  <dc:creator>cmx</dc:creator>
  <cp:lastModifiedBy>金海林</cp:lastModifiedBy>
  <dcterms:modified xsi:type="dcterms:W3CDTF">2025-08-29T02:44:06Z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eyJoZGlkIjoiNWFlYjc1YTA5ZWE1MDNjZWYyZjgzNTNiYzkyNmJiMmIiLCJ1c2VySWQiOiI0NDYyODA2MzIifQ==</vt:lpwstr>
  </property>
  <property fmtid="{D5CDD505-2E9C-101B-9397-08002B2CF9AE}" pid="3" name="KSOProductBuildVer">
    <vt:lpwstr>2052-12.1.0.22529</vt:lpwstr>
  </property>
  <property fmtid="{D5CDD505-2E9C-101B-9397-08002B2CF9AE}" pid="4" name="ICV">
    <vt:lpwstr>49D9370D80B347A580CD15802BE193EB_12</vt:lpwstr>
  </property>
</Properties>
</file>